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7DB5" w14:textId="6B18CCDD" w:rsidR="008B3712" w:rsidRPr="00920F49" w:rsidRDefault="004A3E21" w:rsidP="00764C27">
      <w:pPr>
        <w:snapToGrid w:val="0"/>
        <w:jc w:val="center"/>
        <w:rPr>
          <w:rFonts w:hAnsi="微軟正黑體"/>
          <w:b/>
          <w:bCs/>
          <w:sz w:val="36"/>
          <w:szCs w:val="36"/>
        </w:rPr>
      </w:pPr>
      <w:r w:rsidRPr="00920F49">
        <w:rPr>
          <w:rFonts w:hAnsi="微軟正黑體" w:hint="eastAsia"/>
          <w:b/>
          <w:bCs/>
          <w:sz w:val="36"/>
          <w:szCs w:val="36"/>
        </w:rPr>
        <w:t>建議書撰寫大綱</w:t>
      </w:r>
    </w:p>
    <w:p w14:paraId="2D302BE8" w14:textId="77777777" w:rsidR="00C92E47" w:rsidRPr="00920F49" w:rsidRDefault="00C92E47" w:rsidP="004A3E21">
      <w:pPr>
        <w:snapToGrid w:val="0"/>
        <w:rPr>
          <w:rFonts w:hAnsi="微軟正黑體"/>
        </w:rPr>
      </w:pPr>
      <w:r w:rsidRPr="00920F49">
        <w:rPr>
          <w:rFonts w:hAnsi="微軟正黑體" w:hint="eastAsia"/>
        </w:rPr>
        <w:t>封面</w:t>
      </w:r>
    </w:p>
    <w:p w14:paraId="69CDBD29" w14:textId="4E0B93C1" w:rsidR="004A3E21" w:rsidRPr="00920F49" w:rsidRDefault="004A3E21" w:rsidP="004A3E21">
      <w:pPr>
        <w:snapToGrid w:val="0"/>
        <w:rPr>
          <w:rFonts w:hAnsi="微軟正黑體"/>
        </w:rPr>
      </w:pPr>
      <w:r w:rsidRPr="00920F49">
        <w:rPr>
          <w:rFonts w:hAnsi="微軟正黑體"/>
        </w:rPr>
        <w:t xml:space="preserve">目錄 </w:t>
      </w:r>
    </w:p>
    <w:p w14:paraId="3B3996A8" w14:textId="41A91B57" w:rsidR="004A3E21" w:rsidRPr="00920F49" w:rsidRDefault="004A3E21" w:rsidP="00033A10">
      <w:pPr>
        <w:pStyle w:val="a8"/>
        <w:numPr>
          <w:ilvl w:val="0"/>
          <w:numId w:val="2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專案概述 </w:t>
      </w:r>
    </w:p>
    <w:p w14:paraId="07DA9317" w14:textId="7518C608" w:rsidR="004A3E21" w:rsidRPr="00920F49" w:rsidRDefault="004A3E21" w:rsidP="00033A10">
      <w:pPr>
        <w:pStyle w:val="a8"/>
        <w:numPr>
          <w:ilvl w:val="0"/>
          <w:numId w:val="3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專案名稱 </w:t>
      </w:r>
    </w:p>
    <w:p w14:paraId="0928B606" w14:textId="2FDFBB38" w:rsidR="004A3E21" w:rsidRPr="00920F49" w:rsidRDefault="004A3E21" w:rsidP="00033A10">
      <w:pPr>
        <w:pStyle w:val="a8"/>
        <w:numPr>
          <w:ilvl w:val="0"/>
          <w:numId w:val="3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專案目標 </w:t>
      </w:r>
    </w:p>
    <w:p w14:paraId="7D6C3656" w14:textId="3E4E3DF4" w:rsidR="004A3E21" w:rsidRPr="00920F49" w:rsidRDefault="004A3E21" w:rsidP="00033A10">
      <w:pPr>
        <w:pStyle w:val="a8"/>
        <w:numPr>
          <w:ilvl w:val="0"/>
          <w:numId w:val="3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專案範圍 </w:t>
      </w:r>
    </w:p>
    <w:p w14:paraId="742B373A" w14:textId="1DFB42BF" w:rsidR="004A3E21" w:rsidRPr="00920F49" w:rsidRDefault="004A3E21" w:rsidP="00033A10">
      <w:pPr>
        <w:pStyle w:val="a8"/>
        <w:numPr>
          <w:ilvl w:val="0"/>
          <w:numId w:val="3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專案時程 </w:t>
      </w:r>
    </w:p>
    <w:p w14:paraId="4D7D9125" w14:textId="51B6B9E7" w:rsidR="004A3E21" w:rsidRPr="00920F49" w:rsidRDefault="004A3E21" w:rsidP="00033A10">
      <w:pPr>
        <w:pStyle w:val="a8"/>
        <w:numPr>
          <w:ilvl w:val="0"/>
          <w:numId w:val="2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整體計畫架構 </w:t>
      </w:r>
    </w:p>
    <w:p w14:paraId="65685156" w14:textId="74A7B906" w:rsidR="004A3E21" w:rsidRPr="00920F49" w:rsidRDefault="004A3E21" w:rsidP="00033A10">
      <w:pPr>
        <w:pStyle w:val="a8"/>
        <w:numPr>
          <w:ilvl w:val="0"/>
          <w:numId w:val="4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營運作業服務與營運制度維持需求 </w:t>
      </w:r>
    </w:p>
    <w:p w14:paraId="5A53F4F5" w14:textId="7BFA07DC" w:rsidR="004A3E21" w:rsidRPr="00920F49" w:rsidRDefault="004A3E21" w:rsidP="00033A10">
      <w:pPr>
        <w:pStyle w:val="a8"/>
        <w:numPr>
          <w:ilvl w:val="0"/>
          <w:numId w:val="4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軟硬體系統營運維護需求 </w:t>
      </w:r>
    </w:p>
    <w:p w14:paraId="4F3D5EDC" w14:textId="0477BCC5" w:rsidR="004A3E21" w:rsidRPr="00920F49" w:rsidRDefault="004A3E21" w:rsidP="00033A10">
      <w:pPr>
        <w:pStyle w:val="a8"/>
        <w:numPr>
          <w:ilvl w:val="0"/>
          <w:numId w:val="4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系統功能及技術應用整合支援 </w:t>
      </w:r>
    </w:p>
    <w:p w14:paraId="0B63035B" w14:textId="4D0F2F8A" w:rsidR="004A3E21" w:rsidRPr="00920F49" w:rsidRDefault="004A3E21" w:rsidP="00033A10">
      <w:pPr>
        <w:pStyle w:val="a8"/>
        <w:numPr>
          <w:ilvl w:val="0"/>
          <w:numId w:val="2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團隊專業能力及經驗 </w:t>
      </w:r>
    </w:p>
    <w:p w14:paraId="2448487C" w14:textId="30C0B396" w:rsidR="004A3E21" w:rsidRPr="00920F49" w:rsidRDefault="004A3E21" w:rsidP="004A3E21">
      <w:pPr>
        <w:snapToGrid w:val="0"/>
        <w:ind w:leftChars="236" w:left="566" w:firstLine="1"/>
        <w:rPr>
          <w:rFonts w:hAnsi="微軟正黑體"/>
        </w:rPr>
      </w:pPr>
      <w:r w:rsidRPr="00920F49">
        <w:rPr>
          <w:rFonts w:hAnsi="微軟正黑體"/>
        </w:rPr>
        <w:t xml:space="preserve">投標廠商之組織專業執行能力、適當性與相關工作成果。(含專業能力、相關計畫承辦經歷、專案小組成員規模及配置、技術人力及過去辦理類 似案件之經驗及執行能力) </w:t>
      </w:r>
    </w:p>
    <w:p w14:paraId="11913D5C" w14:textId="4170F6A6" w:rsidR="004A3E21" w:rsidRPr="00920F49" w:rsidRDefault="004A3E21" w:rsidP="00033A10">
      <w:pPr>
        <w:pStyle w:val="a8"/>
        <w:numPr>
          <w:ilvl w:val="0"/>
          <w:numId w:val="2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執行能力及相關服務 </w:t>
      </w:r>
    </w:p>
    <w:p w14:paraId="6B0031F3" w14:textId="5FEA0B4F" w:rsidR="004A3E21" w:rsidRPr="00920F49" w:rsidRDefault="004A3E21" w:rsidP="004A3E21">
      <w:pPr>
        <w:snapToGrid w:val="0"/>
        <w:ind w:leftChars="196" w:left="1035" w:hanging="565"/>
        <w:rPr>
          <w:rFonts w:hAnsi="微軟正黑體"/>
        </w:rPr>
      </w:pPr>
      <w:r w:rsidRPr="00920F49">
        <w:rPr>
          <w:rFonts w:hAnsi="微軟正黑體" w:cs="Microsoft YaHei" w:hint="eastAsia"/>
        </w:rPr>
        <w:t>㇐</w:t>
      </w:r>
      <w:r w:rsidRPr="00920F49">
        <w:rPr>
          <w:rFonts w:hAnsi="微軟正黑體"/>
        </w:rPr>
        <w:t xml:space="preserve">、工作計畫期程、執行進度及期程規劃之合理性。(含人力配置、進度規劃、品質控制及保證措施等) </w:t>
      </w:r>
    </w:p>
    <w:p w14:paraId="03093626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二、系統規劃之規劃及建置構想 </w:t>
      </w:r>
    </w:p>
    <w:p w14:paraId="2484A257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三、系統整合技術及管理方法 </w:t>
      </w:r>
    </w:p>
    <w:p w14:paraId="3BC8DBA4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四、系統相容、擴充、穩定性 </w:t>
      </w:r>
    </w:p>
    <w:p w14:paraId="2505B97E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五、系統測試之規劃及執行方式 </w:t>
      </w:r>
    </w:p>
    <w:p w14:paraId="7A9AEA12" w14:textId="7E676712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六、系統不中斷服務之風險管理（備援、履約應變及災害復原之規劃及執行方式） </w:t>
      </w:r>
    </w:p>
    <w:p w14:paraId="7AF7C26D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七、服務水準及其達成之方法及提供之承諾 </w:t>
      </w:r>
    </w:p>
    <w:p w14:paraId="014FFE89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八、提供維護、諮詢及客服之時間及方式 </w:t>
      </w:r>
    </w:p>
    <w:p w14:paraId="7D02C246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九、教育訓練之規劃及執行方式 </w:t>
      </w:r>
    </w:p>
    <w:p w14:paraId="5B04F19A" w14:textId="05E00689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>十、其他與本採購標的有關，且含於標價內之附加或創新服務（</w:t>
      </w:r>
      <w:proofErr w:type="gramStart"/>
      <w:r w:rsidRPr="00920F49">
        <w:rPr>
          <w:rFonts w:hAnsi="微軟正黑體"/>
        </w:rPr>
        <w:t>不</w:t>
      </w:r>
      <w:proofErr w:type="gramEnd"/>
      <w:r w:rsidRPr="00920F49">
        <w:rPr>
          <w:rFonts w:hAnsi="微軟正黑體"/>
        </w:rPr>
        <w:t xml:space="preserve">另加價者） </w:t>
      </w:r>
    </w:p>
    <w:p w14:paraId="4380F432" w14:textId="5F0F8AC4" w:rsidR="004A3E21" w:rsidRPr="00920F49" w:rsidRDefault="004A3E21" w:rsidP="00033A10">
      <w:pPr>
        <w:pStyle w:val="a8"/>
        <w:numPr>
          <w:ilvl w:val="0"/>
          <w:numId w:val="2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資通安全能力 </w:t>
      </w:r>
    </w:p>
    <w:p w14:paraId="258CE50F" w14:textId="77777777" w:rsidR="004A3E21" w:rsidRPr="00920F49" w:rsidRDefault="004A3E21" w:rsidP="004A3E21">
      <w:pPr>
        <w:snapToGrid w:val="0"/>
        <w:ind w:leftChars="196" w:left="1035" w:hanging="565"/>
        <w:rPr>
          <w:rFonts w:hAnsi="微軟正黑體" w:cs="Microsoft YaHei"/>
        </w:rPr>
      </w:pPr>
      <w:r w:rsidRPr="00920F49">
        <w:rPr>
          <w:rFonts w:hAnsi="微軟正黑體" w:cs="Microsoft YaHei" w:hint="eastAsia"/>
        </w:rPr>
        <w:t>㇐</w:t>
      </w:r>
      <w:r w:rsidRPr="00920F49">
        <w:rPr>
          <w:rFonts w:hAnsi="微軟正黑體" w:cs="Microsoft YaHei"/>
        </w:rPr>
        <w:t xml:space="preserve">、辦理本專案之相關程序及環境，是否具備完善之資通安全管理措施 或通過公正第三方驗證 </w:t>
      </w:r>
    </w:p>
    <w:p w14:paraId="3037AB90" w14:textId="77777777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 xml:space="preserve">二、資通安全相關維護措施之規劃及執行方式 </w:t>
      </w:r>
    </w:p>
    <w:p w14:paraId="1B1F56E3" w14:textId="14414713" w:rsidR="004A3E21" w:rsidRPr="00920F49" w:rsidRDefault="004A3E21" w:rsidP="00033A10">
      <w:pPr>
        <w:pStyle w:val="a8"/>
        <w:numPr>
          <w:ilvl w:val="0"/>
          <w:numId w:val="2"/>
        </w:numPr>
        <w:snapToGrid w:val="0"/>
        <w:ind w:leftChars="0"/>
        <w:rPr>
          <w:rFonts w:hAnsi="微軟正黑體"/>
        </w:rPr>
      </w:pPr>
      <w:r w:rsidRPr="00920F49">
        <w:rPr>
          <w:rFonts w:hAnsi="微軟正黑體"/>
        </w:rPr>
        <w:t xml:space="preserve">價格分析： </w:t>
      </w:r>
    </w:p>
    <w:p w14:paraId="621CF317" w14:textId="315ADD14" w:rsidR="004A3E21" w:rsidRPr="00920F49" w:rsidRDefault="004A3E21" w:rsidP="004A3E21">
      <w:pPr>
        <w:snapToGrid w:val="0"/>
        <w:ind w:firstLine="480"/>
        <w:rPr>
          <w:rFonts w:hAnsi="微軟正黑體"/>
        </w:rPr>
      </w:pPr>
      <w:r w:rsidRPr="00920F49">
        <w:rPr>
          <w:rFonts w:hAnsi="微軟正黑體"/>
        </w:rPr>
        <w:t>投標廠商應針對本專案各項需求作業，詳細分析其對應價格及</w:t>
      </w:r>
      <w:proofErr w:type="gramStart"/>
      <w:r w:rsidRPr="00920F49">
        <w:rPr>
          <w:rFonts w:hAnsi="微軟正黑體"/>
        </w:rPr>
        <w:t>佔</w:t>
      </w:r>
      <w:proofErr w:type="gramEnd"/>
      <w:r w:rsidRPr="00920F49">
        <w:rPr>
          <w:rFonts w:hAnsi="微軟正黑體"/>
        </w:rPr>
        <w:t>全案比率</w:t>
      </w:r>
    </w:p>
    <w:p w14:paraId="116F4B12" w14:textId="759FAD2E" w:rsidR="004A3E21" w:rsidRPr="00920F49" w:rsidRDefault="004A3E21" w:rsidP="00764C27">
      <w:pPr>
        <w:snapToGrid w:val="0"/>
        <w:jc w:val="center"/>
        <w:rPr>
          <w:rFonts w:hAnsi="微軟正黑體"/>
          <w:b/>
          <w:bCs/>
          <w:sz w:val="36"/>
          <w:szCs w:val="36"/>
        </w:rPr>
      </w:pPr>
    </w:p>
    <w:p w14:paraId="09C3AE08" w14:textId="1C550E72" w:rsidR="004A3E21" w:rsidRPr="00920F49" w:rsidRDefault="004A3E21" w:rsidP="00764C27">
      <w:pPr>
        <w:snapToGrid w:val="0"/>
        <w:jc w:val="center"/>
        <w:rPr>
          <w:rFonts w:hAnsi="微軟正黑體"/>
          <w:b/>
          <w:bCs/>
          <w:sz w:val="36"/>
          <w:szCs w:val="36"/>
        </w:rPr>
      </w:pPr>
    </w:p>
    <w:p w14:paraId="30A5B071" w14:textId="5F6EB6B7" w:rsidR="00C16109" w:rsidRDefault="00C16109">
      <w:pPr>
        <w:widowControl/>
        <w:rPr>
          <w:rFonts w:hAnsi="微軟正黑體"/>
        </w:rPr>
      </w:pPr>
    </w:p>
    <w:p w14:paraId="7C17C39C" w14:textId="4FB2CF1B" w:rsidR="004A3E21" w:rsidRPr="00920F49" w:rsidRDefault="004A3E21" w:rsidP="004A3E21">
      <w:pPr>
        <w:snapToGrid w:val="0"/>
        <w:rPr>
          <w:rFonts w:hAnsi="微軟正黑體"/>
        </w:rPr>
      </w:pPr>
      <w:r w:rsidRPr="00920F49">
        <w:rPr>
          <w:rFonts w:hAnsi="微軟正黑體"/>
        </w:rPr>
        <w:lastRenderedPageBreak/>
        <w:t>附錄</w:t>
      </w:r>
      <w:r w:rsidRPr="00920F49">
        <w:rPr>
          <w:rFonts w:hAnsi="微軟正黑體" w:cs="Microsoft YaHei" w:hint="eastAsia"/>
        </w:rPr>
        <w:t>㇐</w:t>
      </w:r>
      <w:r w:rsidRPr="00920F49">
        <w:rPr>
          <w:rFonts w:hAnsi="微軟正黑體"/>
        </w:rPr>
        <w:t>：建議書項目</w:t>
      </w:r>
      <w:r w:rsidRPr="00920F49">
        <w:rPr>
          <w:rFonts w:hAnsi="微軟正黑體" w:hint="eastAsia"/>
        </w:rPr>
        <w:t>內容對照表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80"/>
        <w:gridCol w:w="1690"/>
        <w:gridCol w:w="707"/>
        <w:gridCol w:w="846"/>
        <w:gridCol w:w="963"/>
      </w:tblGrid>
      <w:tr w:rsidR="00C92E47" w:rsidRPr="00920F49" w14:paraId="7D4176BD" w14:textId="77777777" w:rsidTr="004D3B62">
        <w:tc>
          <w:tcPr>
            <w:tcW w:w="5876" w:type="dxa"/>
            <w:gridSpan w:val="2"/>
          </w:tcPr>
          <w:p w14:paraId="530DD61A" w14:textId="7D164097" w:rsidR="00C92E47" w:rsidRPr="00920F49" w:rsidRDefault="00C92E47" w:rsidP="004A3E21">
            <w:pPr>
              <w:snapToGrid w:val="0"/>
              <w:rPr>
                <w:rFonts w:hAnsi="微軟正黑體"/>
                <w:b/>
                <w:bCs/>
              </w:rPr>
            </w:pPr>
            <w:r w:rsidRPr="00920F49">
              <w:rPr>
                <w:rFonts w:hAnsi="微軟正黑體"/>
              </w:rPr>
              <w:t>建議書項目</w:t>
            </w:r>
          </w:p>
        </w:tc>
        <w:tc>
          <w:tcPr>
            <w:tcW w:w="4206" w:type="dxa"/>
            <w:gridSpan w:val="4"/>
          </w:tcPr>
          <w:p w14:paraId="78B61B47" w14:textId="411D12D0" w:rsidR="00C92E47" w:rsidRPr="00920F49" w:rsidRDefault="00C92E47" w:rsidP="004A3E21">
            <w:pPr>
              <w:snapToGrid w:val="0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建議書內容對照</w:t>
            </w:r>
          </w:p>
        </w:tc>
      </w:tr>
      <w:tr w:rsidR="004A3E21" w:rsidRPr="00920F49" w14:paraId="15D6169E" w14:textId="77777777" w:rsidTr="004D3B62">
        <w:tc>
          <w:tcPr>
            <w:tcW w:w="1696" w:type="dxa"/>
          </w:tcPr>
          <w:p w14:paraId="53752BEB" w14:textId="73E70ABF" w:rsidR="004A3E21" w:rsidRPr="00920F49" w:rsidRDefault="004A3E21" w:rsidP="004D3B62">
            <w:pPr>
              <w:snapToGrid w:val="0"/>
              <w:jc w:val="center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項目</w:t>
            </w:r>
          </w:p>
        </w:tc>
        <w:tc>
          <w:tcPr>
            <w:tcW w:w="4180" w:type="dxa"/>
          </w:tcPr>
          <w:p w14:paraId="5122A891" w14:textId="66994FA3" w:rsidR="004A3E21" w:rsidRPr="00920F49" w:rsidRDefault="004A3E21" w:rsidP="004D3B62">
            <w:pPr>
              <w:snapToGrid w:val="0"/>
              <w:jc w:val="center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內容</w:t>
            </w:r>
          </w:p>
        </w:tc>
        <w:tc>
          <w:tcPr>
            <w:tcW w:w="1690" w:type="dxa"/>
          </w:tcPr>
          <w:p w14:paraId="39A9A67B" w14:textId="2BEF2294" w:rsidR="004A3E21" w:rsidRPr="00920F49" w:rsidRDefault="004A3E21" w:rsidP="004D3B62">
            <w:pPr>
              <w:snapToGrid w:val="0"/>
              <w:jc w:val="center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內容摘要</w:t>
            </w:r>
          </w:p>
        </w:tc>
        <w:tc>
          <w:tcPr>
            <w:tcW w:w="707" w:type="dxa"/>
          </w:tcPr>
          <w:p w14:paraId="3C64946D" w14:textId="71773F08" w:rsidR="004A3E21" w:rsidRPr="00920F49" w:rsidRDefault="004A3E21" w:rsidP="004D3B62">
            <w:pPr>
              <w:snapToGrid w:val="0"/>
              <w:jc w:val="center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章節</w:t>
            </w:r>
          </w:p>
        </w:tc>
        <w:tc>
          <w:tcPr>
            <w:tcW w:w="846" w:type="dxa"/>
          </w:tcPr>
          <w:p w14:paraId="799EE7F8" w14:textId="1AD4C31C" w:rsidR="004A3E21" w:rsidRPr="00920F49" w:rsidRDefault="00C92E47" w:rsidP="004D3B62">
            <w:pPr>
              <w:snapToGrid w:val="0"/>
              <w:jc w:val="center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頁次</w:t>
            </w:r>
          </w:p>
        </w:tc>
        <w:tc>
          <w:tcPr>
            <w:tcW w:w="963" w:type="dxa"/>
          </w:tcPr>
          <w:p w14:paraId="60361525" w14:textId="5868F20E" w:rsidR="004A3E21" w:rsidRPr="00920F49" w:rsidRDefault="00C92E47" w:rsidP="004D3B62">
            <w:pPr>
              <w:snapToGrid w:val="0"/>
              <w:jc w:val="center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備註</w:t>
            </w:r>
          </w:p>
        </w:tc>
      </w:tr>
      <w:tr w:rsidR="004A3E21" w:rsidRPr="00920F49" w14:paraId="4E60CB07" w14:textId="77777777" w:rsidTr="004D3B62">
        <w:tc>
          <w:tcPr>
            <w:tcW w:w="1696" w:type="dxa"/>
          </w:tcPr>
          <w:p w14:paraId="512E6DA2" w14:textId="58C16D17" w:rsidR="004A3E21" w:rsidRPr="00920F49" w:rsidRDefault="00C92E47" w:rsidP="004A3E21">
            <w:pPr>
              <w:snapToGrid w:val="0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團隊專業能力及經驗</w:t>
            </w:r>
          </w:p>
        </w:tc>
        <w:tc>
          <w:tcPr>
            <w:tcW w:w="4180" w:type="dxa"/>
          </w:tcPr>
          <w:p w14:paraId="7D30CF91" w14:textId="3A5B4BC2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投標廠商之組織專業執行能力、適當 性與相關工作成果。(含專業能力、相關計畫承辦經歷、專案小組成員規模及配置、技術人力及過去辦理類似案件之經驗及執行能力)</w:t>
            </w:r>
          </w:p>
        </w:tc>
        <w:tc>
          <w:tcPr>
            <w:tcW w:w="1690" w:type="dxa"/>
          </w:tcPr>
          <w:p w14:paraId="5497E735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628DCE1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75275F0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02749ABC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414AECC9" w14:textId="77777777" w:rsidTr="004D3B62">
        <w:tc>
          <w:tcPr>
            <w:tcW w:w="1696" w:type="dxa"/>
          </w:tcPr>
          <w:p w14:paraId="7259B63E" w14:textId="0F82F3F5" w:rsidR="004A3E21" w:rsidRPr="00920F49" w:rsidRDefault="00C92E47" w:rsidP="004A3E21">
            <w:pPr>
              <w:snapToGrid w:val="0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執行能力及相關服務</w:t>
            </w:r>
          </w:p>
        </w:tc>
        <w:tc>
          <w:tcPr>
            <w:tcW w:w="4180" w:type="dxa"/>
          </w:tcPr>
          <w:p w14:paraId="76B14C2D" w14:textId="33730428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工作計畫期程、執行進度及期程規劃 之合理性。含人力配置、進度規劃、 品質控制及保證措施等</w:t>
            </w:r>
          </w:p>
        </w:tc>
        <w:tc>
          <w:tcPr>
            <w:tcW w:w="1690" w:type="dxa"/>
          </w:tcPr>
          <w:p w14:paraId="0AC44AAB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27714063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3EBFEDA2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640C2742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4DA77D66" w14:textId="77777777" w:rsidTr="004D3B62">
        <w:tc>
          <w:tcPr>
            <w:tcW w:w="1696" w:type="dxa"/>
          </w:tcPr>
          <w:p w14:paraId="726AC4B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050A922E" w14:textId="3A0C05FD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系統之規劃及建置構想</w:t>
            </w:r>
          </w:p>
        </w:tc>
        <w:tc>
          <w:tcPr>
            <w:tcW w:w="1690" w:type="dxa"/>
          </w:tcPr>
          <w:p w14:paraId="0196AA95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0C1ACEA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7B75A850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6BC708BF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00C6C869" w14:textId="77777777" w:rsidTr="004D3B62">
        <w:tc>
          <w:tcPr>
            <w:tcW w:w="1696" w:type="dxa"/>
          </w:tcPr>
          <w:p w14:paraId="2D828F3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04BC1C2D" w14:textId="7A4BB62C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系統整合技術及管理方法</w:t>
            </w:r>
          </w:p>
        </w:tc>
        <w:tc>
          <w:tcPr>
            <w:tcW w:w="1690" w:type="dxa"/>
          </w:tcPr>
          <w:p w14:paraId="3F91A7DD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51E1A7F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58F6ABE4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0A2D23E5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21C0978C" w14:textId="77777777" w:rsidTr="004D3B62">
        <w:tc>
          <w:tcPr>
            <w:tcW w:w="1696" w:type="dxa"/>
          </w:tcPr>
          <w:p w14:paraId="65030AC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40C2768D" w14:textId="5323D174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系統相容、擴充、穩定性</w:t>
            </w:r>
          </w:p>
        </w:tc>
        <w:tc>
          <w:tcPr>
            <w:tcW w:w="1690" w:type="dxa"/>
          </w:tcPr>
          <w:p w14:paraId="7F4ACBDF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737C233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7C60FDD3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2FF6950B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6C687DDD" w14:textId="77777777" w:rsidTr="004D3B62">
        <w:tc>
          <w:tcPr>
            <w:tcW w:w="1696" w:type="dxa"/>
          </w:tcPr>
          <w:p w14:paraId="74829373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505F8874" w14:textId="57783F9F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系統測試之規劃及執行方式</w:t>
            </w:r>
          </w:p>
        </w:tc>
        <w:tc>
          <w:tcPr>
            <w:tcW w:w="1690" w:type="dxa"/>
          </w:tcPr>
          <w:p w14:paraId="7C02B6B5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0F284587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1700049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76BDDA3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58A47433" w14:textId="77777777" w:rsidTr="004D3B62">
        <w:tc>
          <w:tcPr>
            <w:tcW w:w="1696" w:type="dxa"/>
          </w:tcPr>
          <w:p w14:paraId="74CA3B5F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0D54ABCB" w14:textId="3DA3009A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系統不中斷服務之風險管理</w:t>
            </w:r>
            <w:r w:rsidR="004D3B62">
              <w:rPr>
                <w:rFonts w:hAnsi="微軟正黑體" w:hint="eastAsia"/>
              </w:rPr>
              <w:t>(</w:t>
            </w:r>
            <w:r w:rsidRPr="00920F49">
              <w:rPr>
                <w:rFonts w:hAnsi="微軟正黑體"/>
              </w:rPr>
              <w:t>備援、履約應變及災害復原之規劃及執行方式</w:t>
            </w:r>
            <w:r w:rsidR="004D3B62">
              <w:rPr>
                <w:rFonts w:hAnsi="微軟正黑體" w:hint="eastAsia"/>
              </w:rPr>
              <w:t>)</w:t>
            </w:r>
          </w:p>
        </w:tc>
        <w:tc>
          <w:tcPr>
            <w:tcW w:w="1690" w:type="dxa"/>
          </w:tcPr>
          <w:p w14:paraId="044F3D07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6EE4E472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5E1CDE60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148BF78C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5BEE60EE" w14:textId="77777777" w:rsidTr="004D3B62">
        <w:tc>
          <w:tcPr>
            <w:tcW w:w="1696" w:type="dxa"/>
          </w:tcPr>
          <w:p w14:paraId="50CF4D4F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3BD5BC32" w14:textId="1A0C5273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服務水準及其達成之方法及提供之承諾</w:t>
            </w:r>
          </w:p>
        </w:tc>
        <w:tc>
          <w:tcPr>
            <w:tcW w:w="1690" w:type="dxa"/>
          </w:tcPr>
          <w:p w14:paraId="11A1A49B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01348B0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57C55DC8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49ABB93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03091E2B" w14:textId="77777777" w:rsidTr="004D3B62">
        <w:tc>
          <w:tcPr>
            <w:tcW w:w="1696" w:type="dxa"/>
          </w:tcPr>
          <w:p w14:paraId="260CBE8C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51F6D0BB" w14:textId="733720C7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提供維護、諮詢及客服之時間及方式</w:t>
            </w:r>
          </w:p>
        </w:tc>
        <w:tc>
          <w:tcPr>
            <w:tcW w:w="1690" w:type="dxa"/>
          </w:tcPr>
          <w:p w14:paraId="04B287E7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501466F5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39BEAE21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632AFBC2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542F20E7" w14:textId="77777777" w:rsidTr="004D3B62">
        <w:tc>
          <w:tcPr>
            <w:tcW w:w="1696" w:type="dxa"/>
          </w:tcPr>
          <w:p w14:paraId="21D63B5C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32AFECB9" w14:textId="38A8BF97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教育訓練之規劃及執行方式</w:t>
            </w:r>
          </w:p>
        </w:tc>
        <w:tc>
          <w:tcPr>
            <w:tcW w:w="1690" w:type="dxa"/>
          </w:tcPr>
          <w:p w14:paraId="221946CE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3EBE1F42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1EC1F953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1286B089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6AE7D6DF" w14:textId="77777777" w:rsidTr="004D3B62">
        <w:tc>
          <w:tcPr>
            <w:tcW w:w="1696" w:type="dxa"/>
          </w:tcPr>
          <w:p w14:paraId="1033F330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34053EF2" w14:textId="35B264F4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其他與本採購標的有關，且含於標價 內之附加或創新服務（</w:t>
            </w:r>
            <w:proofErr w:type="gramStart"/>
            <w:r w:rsidRPr="00920F49">
              <w:rPr>
                <w:rFonts w:hAnsi="微軟正黑體"/>
              </w:rPr>
              <w:t>不</w:t>
            </w:r>
            <w:proofErr w:type="gramEnd"/>
            <w:r w:rsidRPr="00920F49">
              <w:rPr>
                <w:rFonts w:hAnsi="微軟正黑體"/>
              </w:rPr>
              <w:t>另加價者）</w:t>
            </w:r>
          </w:p>
        </w:tc>
        <w:tc>
          <w:tcPr>
            <w:tcW w:w="1690" w:type="dxa"/>
          </w:tcPr>
          <w:p w14:paraId="484CA0D5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3EC2D9D4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542B7AAC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230DFE77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4A3E21" w:rsidRPr="00920F49" w14:paraId="1D1B2E79" w14:textId="77777777" w:rsidTr="004D3B62">
        <w:tc>
          <w:tcPr>
            <w:tcW w:w="1696" w:type="dxa"/>
          </w:tcPr>
          <w:p w14:paraId="3D50E0C7" w14:textId="2DD5C75C" w:rsidR="004A3E21" w:rsidRPr="00920F49" w:rsidRDefault="00C92E47" w:rsidP="004A3E21">
            <w:pPr>
              <w:snapToGrid w:val="0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資通安全能力</w:t>
            </w:r>
          </w:p>
        </w:tc>
        <w:tc>
          <w:tcPr>
            <w:tcW w:w="4180" w:type="dxa"/>
          </w:tcPr>
          <w:p w14:paraId="62CC1460" w14:textId="506A0A00" w:rsidR="004A3E21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辦理本專案之相關程序及環境，是否 具備完善之資通安全管理措施或通過公正第三方驗證</w:t>
            </w:r>
          </w:p>
        </w:tc>
        <w:tc>
          <w:tcPr>
            <w:tcW w:w="1690" w:type="dxa"/>
          </w:tcPr>
          <w:p w14:paraId="4A368ECD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2A1125D7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6EE57B00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74AC9D4B" w14:textId="77777777" w:rsidR="004A3E21" w:rsidRPr="00920F49" w:rsidRDefault="004A3E21" w:rsidP="004A3E21">
            <w:pPr>
              <w:snapToGrid w:val="0"/>
              <w:rPr>
                <w:rFonts w:hAnsi="微軟正黑體"/>
              </w:rPr>
            </w:pPr>
          </w:p>
        </w:tc>
      </w:tr>
      <w:tr w:rsidR="00C92E47" w:rsidRPr="00920F49" w14:paraId="68F1112D" w14:textId="77777777" w:rsidTr="004D3B62">
        <w:tc>
          <w:tcPr>
            <w:tcW w:w="1696" w:type="dxa"/>
          </w:tcPr>
          <w:p w14:paraId="0B5F51EF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4180" w:type="dxa"/>
          </w:tcPr>
          <w:p w14:paraId="62D6EA2E" w14:textId="3F5E1264" w:rsidR="00C92E47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proofErr w:type="gramStart"/>
            <w:r w:rsidRPr="00920F49">
              <w:rPr>
                <w:rFonts w:hAnsi="微軟正黑體"/>
              </w:rPr>
              <w:t>其他資</w:t>
            </w:r>
            <w:proofErr w:type="gramEnd"/>
            <w:r w:rsidRPr="00920F49">
              <w:rPr>
                <w:rFonts w:hAnsi="微軟正黑體"/>
              </w:rPr>
              <w:t>通安全相關維護措施之規劃及執行方式</w:t>
            </w:r>
          </w:p>
        </w:tc>
        <w:tc>
          <w:tcPr>
            <w:tcW w:w="1690" w:type="dxa"/>
          </w:tcPr>
          <w:p w14:paraId="69E2D4EE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3E0F8FB8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760956D7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5F555D81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</w:tr>
      <w:tr w:rsidR="00C92E47" w:rsidRPr="00920F49" w14:paraId="0CA412EF" w14:textId="77777777" w:rsidTr="004D3B62">
        <w:tc>
          <w:tcPr>
            <w:tcW w:w="1696" w:type="dxa"/>
          </w:tcPr>
          <w:p w14:paraId="7C0F3804" w14:textId="5605B301" w:rsidR="00C92E47" w:rsidRPr="00920F49" w:rsidRDefault="00C92E47" w:rsidP="004A3E21">
            <w:pPr>
              <w:snapToGrid w:val="0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價格分析</w:t>
            </w:r>
          </w:p>
        </w:tc>
        <w:tc>
          <w:tcPr>
            <w:tcW w:w="4180" w:type="dxa"/>
          </w:tcPr>
          <w:p w14:paraId="6EE4DCF9" w14:textId="10662169" w:rsidR="00C92E47" w:rsidRPr="00920F49" w:rsidRDefault="00C92E47" w:rsidP="004D3B62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hAnsi="微軟正黑體"/>
              </w:rPr>
            </w:pPr>
            <w:r w:rsidRPr="00920F49">
              <w:rPr>
                <w:rFonts w:hAnsi="微軟正黑體"/>
              </w:rPr>
              <w:t>投標廠商應針對本專案各項需求作業，詳細分析其對應價格及佔全案比率</w:t>
            </w:r>
          </w:p>
        </w:tc>
        <w:tc>
          <w:tcPr>
            <w:tcW w:w="1690" w:type="dxa"/>
          </w:tcPr>
          <w:p w14:paraId="5CFE2F78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707" w:type="dxa"/>
          </w:tcPr>
          <w:p w14:paraId="1E7007E8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846" w:type="dxa"/>
          </w:tcPr>
          <w:p w14:paraId="4AEC05AE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  <w:tc>
          <w:tcPr>
            <w:tcW w:w="963" w:type="dxa"/>
          </w:tcPr>
          <w:p w14:paraId="5BA2B91A" w14:textId="77777777" w:rsidR="00C92E47" w:rsidRPr="00920F49" w:rsidRDefault="00C92E47" w:rsidP="004A3E21">
            <w:pPr>
              <w:snapToGrid w:val="0"/>
              <w:rPr>
                <w:rFonts w:hAnsi="微軟正黑體"/>
              </w:rPr>
            </w:pPr>
          </w:p>
        </w:tc>
      </w:tr>
    </w:tbl>
    <w:p w14:paraId="7107C9BC" w14:textId="52D32A01" w:rsidR="004A3E21" w:rsidRPr="00920F49" w:rsidRDefault="004A3E21" w:rsidP="004A3E21">
      <w:pPr>
        <w:snapToGrid w:val="0"/>
        <w:rPr>
          <w:rFonts w:hAnsi="微軟正黑體"/>
        </w:rPr>
      </w:pPr>
    </w:p>
    <w:p w14:paraId="09FF5A2F" w14:textId="24336D2E" w:rsidR="004A3E21" w:rsidRPr="00920F49" w:rsidRDefault="004A3E21" w:rsidP="004A3E21">
      <w:pPr>
        <w:snapToGrid w:val="0"/>
        <w:rPr>
          <w:rFonts w:hAnsi="微軟正黑體"/>
        </w:rPr>
      </w:pPr>
    </w:p>
    <w:sectPr w:rsidR="004A3E21" w:rsidRPr="00920F49" w:rsidSect="00476006">
      <w:pgSz w:w="11906" w:h="16838"/>
      <w:pgMar w:top="397" w:right="680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4442" w14:textId="77777777" w:rsidR="000911CC" w:rsidRDefault="000911CC" w:rsidP="00476006">
      <w:r>
        <w:separator/>
      </w:r>
    </w:p>
  </w:endnote>
  <w:endnote w:type="continuationSeparator" w:id="0">
    <w:p w14:paraId="28C4C703" w14:textId="77777777" w:rsidR="000911CC" w:rsidRDefault="000911CC" w:rsidP="0047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7398" w14:textId="77777777" w:rsidR="000911CC" w:rsidRDefault="000911CC" w:rsidP="00476006">
      <w:r>
        <w:separator/>
      </w:r>
    </w:p>
  </w:footnote>
  <w:footnote w:type="continuationSeparator" w:id="0">
    <w:p w14:paraId="739926C5" w14:textId="77777777" w:rsidR="000911CC" w:rsidRDefault="000911CC" w:rsidP="0047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951"/>
    <w:multiLevelType w:val="hybridMultilevel"/>
    <w:tmpl w:val="A0182E5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461E2"/>
    <w:multiLevelType w:val="hybridMultilevel"/>
    <w:tmpl w:val="0D62A84A"/>
    <w:lvl w:ilvl="0" w:tplc="59882E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24B3F"/>
    <w:multiLevelType w:val="hybridMultilevel"/>
    <w:tmpl w:val="D0AA9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1D5D6D"/>
    <w:multiLevelType w:val="hybridMultilevel"/>
    <w:tmpl w:val="D0AA9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FD"/>
    <w:rsid w:val="00013294"/>
    <w:rsid w:val="00033A10"/>
    <w:rsid w:val="000640F6"/>
    <w:rsid w:val="000911CC"/>
    <w:rsid w:val="000A5A97"/>
    <w:rsid w:val="00245DD2"/>
    <w:rsid w:val="00271C96"/>
    <w:rsid w:val="002B0B52"/>
    <w:rsid w:val="00476006"/>
    <w:rsid w:val="004A3E21"/>
    <w:rsid w:val="004C21A2"/>
    <w:rsid w:val="004D3B62"/>
    <w:rsid w:val="00764C27"/>
    <w:rsid w:val="00783D74"/>
    <w:rsid w:val="00885D46"/>
    <w:rsid w:val="008B3712"/>
    <w:rsid w:val="008C2D06"/>
    <w:rsid w:val="008E6D5C"/>
    <w:rsid w:val="00920F49"/>
    <w:rsid w:val="009E07BD"/>
    <w:rsid w:val="00BC34E0"/>
    <w:rsid w:val="00C16109"/>
    <w:rsid w:val="00C8064D"/>
    <w:rsid w:val="00C92E47"/>
    <w:rsid w:val="00CE53E9"/>
    <w:rsid w:val="00E16743"/>
    <w:rsid w:val="00E44C54"/>
    <w:rsid w:val="00ED0ED3"/>
    <w:rsid w:val="00EE1FFD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73867"/>
  <w15:docId w15:val="{34E9698C-0AA5-4B4A-9BBC-86B8E94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712"/>
    <w:pPr>
      <w:widowControl w:val="0"/>
    </w:pPr>
    <w:rPr>
      <w:rFonts w:ascii="微軟正黑體" w:eastAsia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0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006"/>
    <w:rPr>
      <w:sz w:val="20"/>
      <w:szCs w:val="20"/>
    </w:rPr>
  </w:style>
  <w:style w:type="paragraph" w:styleId="a8">
    <w:name w:val="List Paragraph"/>
    <w:basedOn w:val="a"/>
    <w:uiPriority w:val="34"/>
    <w:qFormat/>
    <w:rsid w:val="004A3E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黃月櫻_採購處</dc:creator>
  <cp:lastModifiedBy>黃月櫻_採購處</cp:lastModifiedBy>
  <cp:revision>2</cp:revision>
  <cp:lastPrinted>2023-01-10T07:10:00Z</cp:lastPrinted>
  <dcterms:created xsi:type="dcterms:W3CDTF">2025-03-14T07:43:00Z</dcterms:created>
  <dcterms:modified xsi:type="dcterms:W3CDTF">2025-03-14T07:43:00Z</dcterms:modified>
</cp:coreProperties>
</file>